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85FB32" w14:textId="21256D23" w:rsidR="00541D6C" w:rsidRPr="0029233D" w:rsidRDefault="0029233D">
      <w:pPr>
        <w:rPr>
          <w:rFonts w:ascii="Times New Roman" w:hAnsi="Times New Roman" w:cs="Times New Roman"/>
          <w:b/>
          <w:bCs/>
          <w:sz w:val="32"/>
          <w:szCs w:val="32"/>
        </w:rPr>
      </w:pPr>
      <w:bookmarkStart w:id="0" w:name="_Hlk215503071"/>
      <w:bookmarkEnd w:id="0"/>
      <w:r w:rsidRPr="0029233D">
        <w:rPr>
          <w:rFonts w:ascii="Times New Roman" w:hAnsi="Times New Roman" w:cs="Times New Roman"/>
          <w:b/>
          <w:bCs/>
          <w:sz w:val="32"/>
          <w:szCs w:val="32"/>
        </w:rPr>
        <w:t>Supplementary Materials</w:t>
      </w:r>
    </w:p>
    <w:p w14:paraId="514F7458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Designing high performing and stable genotypes through complementary crosses</w:t>
      </w:r>
    </w:p>
    <w:p w14:paraId="60EF7BC5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606428AF" w14:textId="659583EE" w:rsidR="0029233D" w:rsidRDefault="0029233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D. L Waters, C. Finegan, </w:t>
      </w:r>
      <w:r w:rsidR="00CD0CBD">
        <w:rPr>
          <w:rFonts w:ascii="Times New Roman" w:hAnsi="Times New Roman" w:cs="Times New Roman"/>
          <w:sz w:val="32"/>
          <w:szCs w:val="32"/>
        </w:rPr>
        <w:t xml:space="preserve">S.E. Weber, </w:t>
      </w:r>
      <w:r>
        <w:rPr>
          <w:rFonts w:ascii="Times New Roman" w:hAnsi="Times New Roman" w:cs="Times New Roman"/>
          <w:sz w:val="32"/>
          <w:szCs w:val="32"/>
        </w:rPr>
        <w:t xml:space="preserve">B. </w:t>
      </w:r>
      <w:proofErr w:type="spellStart"/>
      <w:r>
        <w:rPr>
          <w:rFonts w:ascii="Times New Roman" w:hAnsi="Times New Roman" w:cs="Times New Roman"/>
          <w:sz w:val="32"/>
          <w:szCs w:val="32"/>
        </w:rPr>
        <w:t>Gardunia</w:t>
      </w:r>
      <w:proofErr w:type="spellEnd"/>
      <w:r>
        <w:rPr>
          <w:rFonts w:ascii="Times New Roman" w:hAnsi="Times New Roman" w:cs="Times New Roman"/>
          <w:sz w:val="32"/>
          <w:szCs w:val="32"/>
        </w:rPr>
        <w:t>, D.J. Tolhurst</w:t>
      </w:r>
    </w:p>
    <w:p w14:paraId="76CDB8CE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6AD24AB2" w14:textId="119DC3A7" w:rsidR="0029233D" w:rsidRDefault="0029233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Link to </w:t>
      </w:r>
      <w:proofErr w:type="spellStart"/>
      <w:r>
        <w:rPr>
          <w:rFonts w:ascii="Times New Roman" w:hAnsi="Times New Roman" w:cs="Times New Roman"/>
          <w:sz w:val="32"/>
          <w:szCs w:val="32"/>
        </w:rPr>
        <w:t>doi</w:t>
      </w:r>
      <w:proofErr w:type="spellEnd"/>
    </w:p>
    <w:p w14:paraId="5EC48CC1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27C4F739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9F4243A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B0618E5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72B2896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733E433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7260FF9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50E1F390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33219A8C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52D8B6E9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67783C52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761A2EEA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7BC694B1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0CB366DB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44E58AC1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343E1037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58BEE0FD" w14:textId="77777777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3EAAAFD8" w14:textId="050AEFB6" w:rsidR="0029233D" w:rsidRDefault="0029233D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29233D">
        <w:rPr>
          <w:rFonts w:ascii="Times New Roman" w:hAnsi="Times New Roman" w:cs="Times New Roman"/>
          <w:b/>
          <w:bCs/>
          <w:sz w:val="32"/>
          <w:szCs w:val="32"/>
        </w:rPr>
        <w:lastRenderedPageBreak/>
        <w:t>Simulated genetic covariance matrices</w:t>
      </w:r>
    </w:p>
    <w:p w14:paraId="4062B7FF" w14:textId="313FBD6F" w:rsidR="0029233D" w:rsidRDefault="002923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Genetic covariance matrices were simulated following the framework described in </w:t>
      </w:r>
      <w:proofErr w:type="spellStart"/>
      <w:r>
        <w:rPr>
          <w:rFonts w:ascii="Times New Roman" w:hAnsi="Times New Roman" w:cs="Times New Roman"/>
        </w:rPr>
        <w:t>Ban</w:t>
      </w:r>
      <w:r w:rsidRPr="0029233D">
        <w:rPr>
          <w:rFonts w:ascii="Times New Roman" w:hAnsi="Times New Roman" w:cs="Times New Roman"/>
        </w:rPr>
        <w:t>čič</w:t>
      </w:r>
      <w:proofErr w:type="spellEnd"/>
      <w:r>
        <w:rPr>
          <w:rFonts w:ascii="Times New Roman" w:hAnsi="Times New Roman" w:cs="Times New Roman"/>
        </w:rPr>
        <w:t xml:space="preserve"> et al. (2024) when there were 10 or more environments in a GEI scenario. </w:t>
      </w:r>
    </w:p>
    <w:p w14:paraId="1FA9435C" w14:textId="783F64CA" w:rsidR="0029233D" w:rsidRDefault="002923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The matrices were formed as: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G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  <m:r>
          <m:rPr>
            <m:sty m:val="b"/>
          </m:rPr>
          <w:rPr>
            <w:rFonts w:ascii="Cambria Math" w:hAnsi="Cambria Math" w:cs="Times New Roman"/>
          </w:rPr>
          <m:t xml:space="preserve">= </m:t>
        </m:r>
        <m:sSubSup>
          <m:sSubSup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</w:rPr>
              <m:t>D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  <m:sup>
            <m:f>
              <m:fPr>
                <m:ctrlPr>
                  <w:rPr>
                    <w:rFonts w:ascii="Cambria Math" w:hAnsi="Cambria Math" w:cs="Times New Roman"/>
                    <w:b/>
                    <w:bCs/>
                    <w:iCs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Times New Roman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Times New Roman"/>
                  </w:rPr>
                  <m:t>2</m:t>
                </m:r>
              </m:den>
            </m:f>
          </m:sup>
        </m:sSubSup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C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  <m:r>
          <m:rPr>
            <m:sty m:val="b"/>
          </m:rPr>
          <w:rPr>
            <w:rFonts w:ascii="Cambria Math" w:hAnsi="Cambria Math" w:cs="Times New Roman"/>
          </w:rPr>
          <m:t xml:space="preserve"> </m:t>
        </m:r>
        <m:sSubSup>
          <m:sSubSup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</w:rPr>
              <m:t>D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  <m:sup>
            <m:f>
              <m:fPr>
                <m:ctrlPr>
                  <w:rPr>
                    <w:rFonts w:ascii="Cambria Math" w:hAnsi="Cambria Math" w:cs="Times New Roman"/>
                    <w:b/>
                    <w:bCs/>
                    <w:iCs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 w:cs="Times New Roman"/>
                  </w:rPr>
                  <m:t>1</m:t>
                </m:r>
              </m:num>
              <m:den>
                <m:r>
                  <m:rPr>
                    <m:sty m:val="b"/>
                  </m:rPr>
                  <w:rPr>
                    <w:rFonts w:ascii="Cambria Math" w:hAnsi="Cambria Math" w:cs="Times New Roman"/>
                  </w:rPr>
                  <m:t>2</m:t>
                </m:r>
              </m:den>
            </m:f>
          </m:sup>
        </m:sSubSup>
      </m:oMath>
      <w:r>
        <w:rPr>
          <w:rFonts w:ascii="Times New Roman" w:hAnsi="Times New Roman" w:cs="Times New Roman"/>
        </w:rPr>
        <w:t xml:space="preserve"> , where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C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>
        <w:rPr>
          <w:rFonts w:ascii="Times New Roman" w:hAnsi="Times New Roman" w:cs="Times New Roman"/>
        </w:rPr>
        <w:t xml:space="preserve"> was a correlation matric and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D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>
        <w:rPr>
          <w:rFonts w:ascii="Times New Roman" w:hAnsi="Times New Roman" w:cs="Times New Roman"/>
        </w:rPr>
        <w:t xml:space="preserve"> was a diagonal matrix with genetic variances on the diagonal. The parameters used to simulate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C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>
        <w:rPr>
          <w:rFonts w:ascii="Times New Roman" w:eastAsiaTheme="minorEastAsia" w:hAnsi="Times New Roman" w:cs="Times New Roman"/>
          <w:b/>
          <w:bCs/>
          <w:iCs/>
        </w:rPr>
        <w:t xml:space="preserve"> </w:t>
      </w:r>
      <w:r>
        <w:rPr>
          <w:rFonts w:ascii="Times New Roman" w:eastAsiaTheme="minorEastAsia" w:hAnsi="Times New Roman" w:cs="Times New Roman"/>
          <w:iCs/>
        </w:rPr>
        <w:t xml:space="preserve">and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D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>
        <w:rPr>
          <w:rFonts w:ascii="Times New Roman" w:hAnsi="Times New Roman" w:cs="Times New Roman"/>
        </w:rPr>
        <w:t xml:space="preserve"> are given in Table 1 of the manuscript, with further details available in </w:t>
      </w:r>
      <w:proofErr w:type="spellStart"/>
      <w:r>
        <w:rPr>
          <w:rFonts w:ascii="Times New Roman" w:hAnsi="Times New Roman" w:cs="Times New Roman"/>
        </w:rPr>
        <w:t>Ban</w:t>
      </w:r>
      <w:r w:rsidRPr="0029233D">
        <w:rPr>
          <w:rFonts w:ascii="Times New Roman" w:hAnsi="Times New Roman" w:cs="Times New Roman"/>
        </w:rPr>
        <w:t>čič</w:t>
      </w:r>
      <w:proofErr w:type="spellEnd"/>
      <w:r>
        <w:rPr>
          <w:rFonts w:ascii="Times New Roman" w:hAnsi="Times New Roman" w:cs="Times New Roman"/>
        </w:rPr>
        <w:t xml:space="preserve"> et al. (2024). The following supplementary figures summarise the distribution of genetic variances, correlations, and level of crossover and non-crossover GEI for all of the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G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  <m:r>
          <m:rPr>
            <m:sty m:val="bi"/>
          </m:rPr>
          <w:rPr>
            <w:rFonts w:ascii="Cambria Math" w:hAnsi="Cambria Math" w:cs="Times New Roman"/>
          </w:rPr>
          <m:t xml:space="preserve"> </m:t>
        </m:r>
      </m:oMath>
      <w:r>
        <w:rPr>
          <w:rFonts w:ascii="Times New Roman" w:hAnsi="Times New Roman" w:cs="Times New Roman"/>
        </w:rPr>
        <w:t xml:space="preserve">matrices used in the simulation. </w:t>
      </w:r>
    </w:p>
    <w:p w14:paraId="36D2D6C3" w14:textId="1001929D" w:rsidR="0029233D" w:rsidRDefault="0029233D">
      <w:pPr>
        <w:rPr>
          <w:rFonts w:ascii="Times New Roman" w:hAnsi="Times New Roman" w:cs="Times New Roman"/>
        </w:rPr>
      </w:pPr>
    </w:p>
    <w:p w14:paraId="0A62CD33" w14:textId="47680EC7" w:rsidR="00230E2F" w:rsidRDefault="00230E2F">
      <w:pPr>
        <w:rPr>
          <w:rFonts w:ascii="Times New Roman" w:hAnsi="Times New Roman" w:cs="Times New Roman"/>
        </w:rPr>
      </w:pPr>
      <w:r w:rsidRPr="004057C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33152" behindDoc="0" locked="0" layoutInCell="1" allowOverlap="1" wp14:anchorId="6C8AF48D" wp14:editId="145FDD8B">
            <wp:simplePos x="0" y="0"/>
            <wp:positionH relativeFrom="column">
              <wp:posOffset>-276166</wp:posOffset>
            </wp:positionH>
            <wp:positionV relativeFrom="paragraph">
              <wp:posOffset>237815</wp:posOffset>
            </wp:positionV>
            <wp:extent cx="5731510" cy="3439160"/>
            <wp:effectExtent l="0" t="0" r="2540" b="8890"/>
            <wp:wrapSquare wrapText="bothSides"/>
            <wp:docPr id="1222892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176884" w14:textId="75A4CFC1" w:rsidR="0029233D" w:rsidRDefault="002923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Sup. Fig. 1a</w:t>
      </w:r>
      <w:r>
        <w:rPr>
          <w:rFonts w:ascii="Times New Roman" w:hAnsi="Times New Roman" w:cs="Times New Roman"/>
        </w:rPr>
        <w:t>: Distribution of the genetic correlation between environments under high GEI. The vertical blue line corresponds to the mean genetic correlation.</w:t>
      </w:r>
    </w:p>
    <w:p w14:paraId="272E46AF" w14:textId="77777777" w:rsidR="0029233D" w:rsidRDefault="0029233D">
      <w:pPr>
        <w:rPr>
          <w:rFonts w:ascii="Times New Roman" w:hAnsi="Times New Roman" w:cs="Times New Roman"/>
        </w:rPr>
      </w:pPr>
    </w:p>
    <w:p w14:paraId="6A2F67AE" w14:textId="4D296081" w:rsidR="0029233D" w:rsidRDefault="0029233D">
      <w:pPr>
        <w:rPr>
          <w:rFonts w:ascii="Times New Roman" w:hAnsi="Times New Roman" w:cs="Times New Roman"/>
        </w:rPr>
      </w:pPr>
    </w:p>
    <w:p w14:paraId="1DE2419A" w14:textId="77777777" w:rsidR="0029233D" w:rsidRDefault="0029233D" w:rsidP="0029233D">
      <w:pPr>
        <w:rPr>
          <w:rFonts w:ascii="Times New Roman" w:hAnsi="Times New Roman" w:cs="Times New Roman"/>
        </w:rPr>
      </w:pPr>
    </w:p>
    <w:p w14:paraId="026FC4E9" w14:textId="77777777" w:rsidR="00230E2F" w:rsidRDefault="00230E2F" w:rsidP="0029233D">
      <w:pPr>
        <w:rPr>
          <w:rFonts w:ascii="Times New Roman" w:hAnsi="Times New Roman" w:cs="Times New Roman"/>
          <w:b/>
          <w:bCs/>
        </w:rPr>
      </w:pPr>
    </w:p>
    <w:p w14:paraId="359768D3" w14:textId="77777777" w:rsidR="00230E2F" w:rsidRDefault="00230E2F" w:rsidP="0029233D">
      <w:pPr>
        <w:rPr>
          <w:rFonts w:ascii="Times New Roman" w:hAnsi="Times New Roman" w:cs="Times New Roman"/>
          <w:b/>
          <w:bCs/>
        </w:rPr>
      </w:pPr>
    </w:p>
    <w:p w14:paraId="088EEA23" w14:textId="77777777" w:rsidR="00230E2F" w:rsidRDefault="00230E2F" w:rsidP="0029233D">
      <w:pPr>
        <w:rPr>
          <w:rFonts w:ascii="Times New Roman" w:hAnsi="Times New Roman" w:cs="Times New Roman"/>
          <w:b/>
          <w:bCs/>
        </w:rPr>
      </w:pPr>
    </w:p>
    <w:p w14:paraId="6CF27CA8" w14:textId="77777777" w:rsidR="00230E2F" w:rsidRDefault="00230E2F" w:rsidP="0029233D">
      <w:pPr>
        <w:rPr>
          <w:rFonts w:ascii="Times New Roman" w:hAnsi="Times New Roman" w:cs="Times New Roman"/>
          <w:b/>
          <w:bCs/>
        </w:rPr>
      </w:pPr>
    </w:p>
    <w:p w14:paraId="76CA1097" w14:textId="61967483" w:rsidR="0029233D" w:rsidRDefault="00230E2F" w:rsidP="0029233D">
      <w:pPr>
        <w:rPr>
          <w:rFonts w:ascii="Times New Roman" w:hAnsi="Times New Roman" w:cs="Times New Roman"/>
        </w:rPr>
      </w:pPr>
      <w:r w:rsidRPr="00230E2F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38272" behindDoc="0" locked="0" layoutInCell="1" allowOverlap="1" wp14:anchorId="78EE3180" wp14:editId="0666998F">
            <wp:simplePos x="0" y="0"/>
            <wp:positionH relativeFrom="column">
              <wp:posOffset>-180754</wp:posOffset>
            </wp:positionH>
            <wp:positionV relativeFrom="paragraph">
              <wp:posOffset>265</wp:posOffset>
            </wp:positionV>
            <wp:extent cx="5731510" cy="3439160"/>
            <wp:effectExtent l="0" t="0" r="2540" b="8890"/>
            <wp:wrapSquare wrapText="bothSides"/>
            <wp:docPr id="17423651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9233D">
        <w:rPr>
          <w:rFonts w:ascii="Times New Roman" w:hAnsi="Times New Roman" w:cs="Times New Roman"/>
          <w:b/>
          <w:bCs/>
        </w:rPr>
        <w:t>Sup. Fig. 1b</w:t>
      </w:r>
      <w:r w:rsidR="0029233D">
        <w:rPr>
          <w:rFonts w:ascii="Times New Roman" w:hAnsi="Times New Roman" w:cs="Times New Roman"/>
        </w:rPr>
        <w:t>: Distribution of the genetic correlation between environments under moderate GEI. The vertical blue line corresponds to the mean genetic correlation.</w:t>
      </w:r>
    </w:p>
    <w:p w14:paraId="0AEF359B" w14:textId="77777777" w:rsidR="001617D3" w:rsidRDefault="001617D3">
      <w:pPr>
        <w:rPr>
          <w:rFonts w:ascii="Times New Roman" w:hAnsi="Times New Roman" w:cs="Times New Roman"/>
          <w:sz w:val="32"/>
          <w:szCs w:val="32"/>
        </w:rPr>
      </w:pPr>
    </w:p>
    <w:p w14:paraId="19C4A169" w14:textId="1C97E9C0" w:rsidR="0029233D" w:rsidRDefault="00230E2F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0320" behindDoc="0" locked="0" layoutInCell="1" allowOverlap="1" wp14:anchorId="28040E3F" wp14:editId="11049E38">
            <wp:simplePos x="0" y="0"/>
            <wp:positionH relativeFrom="margin">
              <wp:align>right</wp:align>
            </wp:positionH>
            <wp:positionV relativeFrom="paragraph">
              <wp:posOffset>371637</wp:posOffset>
            </wp:positionV>
            <wp:extent cx="5731510" cy="3439160"/>
            <wp:effectExtent l="0" t="0" r="2540" b="8890"/>
            <wp:wrapSquare wrapText="bothSides"/>
            <wp:docPr id="130787195" name="Picture 3" descr="A graph of different types of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87195" name="Picture 3" descr="A graph of different types of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CF221E" w14:textId="09C8C4FD" w:rsidR="0029233D" w:rsidRPr="00230E2F" w:rsidRDefault="0029233D" w:rsidP="0029233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bCs/>
        </w:rPr>
        <w:t>Sup. Fig. 1c</w:t>
      </w:r>
      <w:r>
        <w:rPr>
          <w:rFonts w:ascii="Times New Roman" w:hAnsi="Times New Roman" w:cs="Times New Roman"/>
        </w:rPr>
        <w:t>: Distribution of the genetic correlation between environments under low GEI. The vertical blue line corresponds to the mean genetic correlation.</w:t>
      </w:r>
    </w:p>
    <w:p w14:paraId="706DB32F" w14:textId="6816F885" w:rsidR="0029233D" w:rsidRDefault="001617D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51584" behindDoc="0" locked="0" layoutInCell="1" allowOverlap="1" wp14:anchorId="68774989" wp14:editId="2B818F42">
            <wp:simplePos x="0" y="0"/>
            <wp:positionH relativeFrom="margin">
              <wp:align>right</wp:align>
            </wp:positionH>
            <wp:positionV relativeFrom="paragraph">
              <wp:posOffset>3620</wp:posOffset>
            </wp:positionV>
            <wp:extent cx="5731510" cy="3439160"/>
            <wp:effectExtent l="0" t="0" r="2540" b="8890"/>
            <wp:wrapSquare wrapText="bothSides"/>
            <wp:docPr id="1919167366" name="Picture 6" descr="A graph of different types of genetic vari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67366" name="Picture 6" descr="A graph of different types of genetic variatio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9233D">
        <w:rPr>
          <w:rFonts w:ascii="Times New Roman" w:hAnsi="Times New Roman" w:cs="Times New Roman"/>
          <w:b/>
          <w:bCs/>
        </w:rPr>
        <w:t>Sup. Fig. 2a</w:t>
      </w:r>
      <w:r w:rsidR="0029233D">
        <w:rPr>
          <w:rFonts w:ascii="Times New Roman" w:hAnsi="Times New Roman" w:cs="Times New Roman"/>
        </w:rPr>
        <w:t>: Distribution of the genetic variance within environments under high GEI. The vertical blue line corresponds to the mean genetic variance.</w:t>
      </w:r>
    </w:p>
    <w:p w14:paraId="2B821C1A" w14:textId="7939E02F" w:rsidR="001617D3" w:rsidRDefault="001617D3" w:rsidP="0029233D">
      <w:pPr>
        <w:rPr>
          <w:rFonts w:ascii="Times New Roman" w:hAnsi="Times New Roman" w:cs="Times New Roman"/>
          <w:b/>
          <w:bCs/>
        </w:rPr>
      </w:pPr>
    </w:p>
    <w:p w14:paraId="047B6DD0" w14:textId="51358817" w:rsidR="001617D3" w:rsidRDefault="001617D3" w:rsidP="0029233D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5F5D2A71" wp14:editId="0DB2BA0B">
            <wp:simplePos x="0" y="0"/>
            <wp:positionH relativeFrom="margin">
              <wp:align>right</wp:align>
            </wp:positionH>
            <wp:positionV relativeFrom="paragraph">
              <wp:posOffset>243840</wp:posOffset>
            </wp:positionV>
            <wp:extent cx="5731510" cy="3439160"/>
            <wp:effectExtent l="0" t="0" r="2540" b="8890"/>
            <wp:wrapSquare wrapText="bothSides"/>
            <wp:docPr id="1618081520" name="Picture 4" descr="A graph of different types of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081520" name="Picture 4" descr="A graph of different types of numb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992862" w14:textId="397CD16F" w:rsidR="0029233D" w:rsidRDefault="0029233D" w:rsidP="0029233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Sup. Fig. 2b</w:t>
      </w:r>
      <w:r>
        <w:rPr>
          <w:rFonts w:ascii="Times New Roman" w:hAnsi="Times New Roman" w:cs="Times New Roman"/>
        </w:rPr>
        <w:t>: Distribution of the genetic variance within environments under moderate GEI. The vertical blue line corresponds to the mean genetic variance.</w:t>
      </w:r>
    </w:p>
    <w:p w14:paraId="4F072812" w14:textId="76301B2F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5BB87DCD" w14:textId="138B86D1" w:rsidR="0029233D" w:rsidRDefault="0029233D">
      <w:pPr>
        <w:rPr>
          <w:rFonts w:ascii="Times New Roman" w:hAnsi="Times New Roman" w:cs="Times New Roman"/>
          <w:sz w:val="32"/>
          <w:szCs w:val="32"/>
        </w:rPr>
      </w:pPr>
    </w:p>
    <w:p w14:paraId="581A8890" w14:textId="04224323" w:rsidR="0029233D" w:rsidRPr="00230E2F" w:rsidRDefault="00A92E9D" w:rsidP="0029233D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inline distT="0" distB="0" distL="0" distR="0" wp14:anchorId="301CE5A9" wp14:editId="5751A6E4">
            <wp:extent cx="5731510" cy="3439160"/>
            <wp:effectExtent l="0" t="0" r="2540" b="8890"/>
            <wp:docPr id="56382866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233D">
        <w:rPr>
          <w:rFonts w:ascii="Times New Roman" w:hAnsi="Times New Roman" w:cs="Times New Roman"/>
          <w:b/>
          <w:bCs/>
        </w:rPr>
        <w:t>Sup. Fig. 2c</w:t>
      </w:r>
      <w:r w:rsidR="0029233D">
        <w:rPr>
          <w:rFonts w:ascii="Times New Roman" w:hAnsi="Times New Roman" w:cs="Times New Roman"/>
        </w:rPr>
        <w:t>: Distribution of the genetic variance within environments under low GEI. The vertical blue line corresponds to the mean genetic variance.</w:t>
      </w:r>
    </w:p>
    <w:p w14:paraId="2ABC4013" w14:textId="33F5B1B2" w:rsidR="001617D3" w:rsidRDefault="001617D3" w:rsidP="0029233D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75136" behindDoc="0" locked="0" layoutInCell="1" allowOverlap="1" wp14:anchorId="78743AA4" wp14:editId="73AEC56A">
            <wp:simplePos x="0" y="0"/>
            <wp:positionH relativeFrom="margin">
              <wp:align>right</wp:align>
            </wp:positionH>
            <wp:positionV relativeFrom="paragraph">
              <wp:posOffset>449950</wp:posOffset>
            </wp:positionV>
            <wp:extent cx="5731510" cy="3439160"/>
            <wp:effectExtent l="0" t="0" r="2540" b="8890"/>
            <wp:wrapSquare wrapText="bothSides"/>
            <wp:docPr id="2147675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7E2648" w14:textId="716467F9" w:rsidR="0029233D" w:rsidRDefault="0029233D" w:rsidP="0029233D">
      <w:pPr>
        <w:rPr>
          <w:rFonts w:ascii="Times New Roman" w:eastAsiaTheme="minorEastAsia" w:hAnsi="Times New Roman" w:cs="Times New Roman"/>
          <w:iCs/>
        </w:rPr>
      </w:pPr>
      <w:r>
        <w:rPr>
          <w:rFonts w:ascii="Times New Roman" w:hAnsi="Times New Roman" w:cs="Times New Roman"/>
          <w:b/>
          <w:bCs/>
        </w:rPr>
        <w:t>Sup. Fig. 3</w:t>
      </w:r>
      <w:r>
        <w:rPr>
          <w:rFonts w:ascii="Times New Roman" w:hAnsi="Times New Roman" w:cs="Times New Roman"/>
        </w:rPr>
        <w:t xml:space="preserve">: Proportion of crossover and non-crossover GEI for each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G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>
        <w:rPr>
          <w:rFonts w:ascii="Times New Roman" w:eastAsiaTheme="minorEastAsia" w:hAnsi="Times New Roman" w:cs="Times New Roman"/>
          <w:b/>
          <w:bCs/>
          <w:iCs/>
        </w:rPr>
        <w:t xml:space="preserve"> </w:t>
      </w:r>
      <w:r>
        <w:rPr>
          <w:rFonts w:ascii="Times New Roman" w:eastAsiaTheme="minorEastAsia" w:hAnsi="Times New Roman" w:cs="Times New Roman"/>
          <w:iCs/>
        </w:rPr>
        <w:t>matrix</w:t>
      </w:r>
    </w:p>
    <w:p w14:paraId="29AE7411" w14:textId="4383649E" w:rsidR="0029233D" w:rsidRDefault="0029233D" w:rsidP="0029233D">
      <w:pPr>
        <w:rPr>
          <w:rFonts w:ascii="Times New Roman" w:eastAsiaTheme="minorEastAsia" w:hAnsi="Times New Roman" w:cs="Times New Roman"/>
          <w:iCs/>
        </w:rPr>
      </w:pPr>
    </w:p>
    <w:p w14:paraId="245FBAE1" w14:textId="5526B5C5" w:rsidR="0029233D" w:rsidRPr="0073199A" w:rsidRDefault="0073199A" w:rsidP="0029233D">
      <w:pPr>
        <w:rPr>
          <w:rFonts w:ascii="Times New Roman" w:eastAsiaTheme="minorEastAsia" w:hAnsi="Times New Roman" w:cs="Times New Roman"/>
          <w:iCs/>
        </w:rPr>
      </w:pPr>
      <w:r>
        <w:rPr>
          <w:noProof/>
        </w:rPr>
        <w:lastRenderedPageBreak/>
        <w:drawing>
          <wp:anchor distT="0" distB="0" distL="114300" distR="114300" simplePos="0" relativeHeight="251671040" behindDoc="0" locked="0" layoutInCell="1" allowOverlap="1" wp14:anchorId="4F992519" wp14:editId="702BA35A">
            <wp:simplePos x="0" y="0"/>
            <wp:positionH relativeFrom="margin">
              <wp:align>right</wp:align>
            </wp:positionH>
            <wp:positionV relativeFrom="paragraph">
              <wp:posOffset>370</wp:posOffset>
            </wp:positionV>
            <wp:extent cx="5731510" cy="4011930"/>
            <wp:effectExtent l="0" t="0" r="2540" b="7620"/>
            <wp:wrapSquare wrapText="bothSides"/>
            <wp:docPr id="1978610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1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9233D">
        <w:rPr>
          <w:rFonts w:ascii="Times New Roman" w:hAnsi="Times New Roman" w:cs="Times New Roman"/>
          <w:b/>
          <w:bCs/>
        </w:rPr>
        <w:t>Sup. Fig. 4</w:t>
      </w:r>
      <w:r w:rsidR="0029233D">
        <w:rPr>
          <w:rFonts w:ascii="Times New Roman" w:hAnsi="Times New Roman" w:cs="Times New Roman"/>
        </w:rPr>
        <w:t xml:space="preserve">: Proportion genetic variance explained by the principal comments of the </w:t>
      </w:r>
      <m:oMath>
        <m:sSub>
          <m:sSubPr>
            <m:ctrlPr>
              <w:rPr>
                <w:rFonts w:ascii="Cambria Math" w:hAnsi="Cambria Math" w:cs="Times New Roman"/>
                <w:b/>
                <w:bCs/>
                <w:iCs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G</m:t>
            </m:r>
          </m:e>
          <m:sub>
            <m:r>
              <m:rPr>
                <m:sty m:val="b"/>
              </m:rPr>
              <w:rPr>
                <w:rFonts w:ascii="Cambria Math" w:hAnsi="Cambria Math" w:cs="Times New Roman"/>
              </w:rPr>
              <m:t>e</m:t>
            </m:r>
          </m:sub>
        </m:sSub>
      </m:oMath>
      <w:r w:rsidR="0029233D">
        <w:rPr>
          <w:rFonts w:ascii="Times New Roman" w:eastAsiaTheme="minorEastAsia" w:hAnsi="Times New Roman" w:cs="Times New Roman"/>
          <w:b/>
          <w:bCs/>
          <w:iCs/>
        </w:rPr>
        <w:t xml:space="preserve"> </w:t>
      </w:r>
      <w:r w:rsidR="0029233D">
        <w:rPr>
          <w:rFonts w:ascii="Times New Roman" w:eastAsiaTheme="minorEastAsia" w:hAnsi="Times New Roman" w:cs="Times New Roman"/>
          <w:iCs/>
        </w:rPr>
        <w:t>matrix</w:t>
      </w:r>
    </w:p>
    <w:p w14:paraId="7A122E10" w14:textId="78A0F382" w:rsidR="0029233D" w:rsidRDefault="0029233D">
      <w:pPr>
        <w:rPr>
          <w:rFonts w:ascii="Times New Roman" w:hAnsi="Times New Roman" w:cs="Times New Roman"/>
        </w:rPr>
      </w:pPr>
    </w:p>
    <w:p w14:paraId="58B7E2BB" w14:textId="77777777" w:rsidR="0029233D" w:rsidRDefault="0029233D">
      <w:pPr>
        <w:rPr>
          <w:rFonts w:ascii="Times New Roman" w:hAnsi="Times New Roman" w:cs="Times New Roman"/>
        </w:rPr>
      </w:pPr>
    </w:p>
    <w:p w14:paraId="12C52DB1" w14:textId="77777777" w:rsidR="0029233D" w:rsidRDefault="0029233D">
      <w:pPr>
        <w:rPr>
          <w:rFonts w:ascii="Times New Roman" w:hAnsi="Times New Roman" w:cs="Times New Roman"/>
        </w:rPr>
      </w:pPr>
    </w:p>
    <w:p w14:paraId="3F82F1BA" w14:textId="77777777" w:rsidR="0073199A" w:rsidRDefault="0073199A">
      <w:pPr>
        <w:rPr>
          <w:rFonts w:ascii="Times New Roman" w:hAnsi="Times New Roman" w:cs="Times New Roman"/>
        </w:rPr>
      </w:pPr>
    </w:p>
    <w:p w14:paraId="5CC3BFB2" w14:textId="77777777" w:rsidR="0073199A" w:rsidRDefault="0073199A">
      <w:pPr>
        <w:rPr>
          <w:rFonts w:ascii="Times New Roman" w:hAnsi="Times New Roman" w:cs="Times New Roman"/>
        </w:rPr>
      </w:pPr>
    </w:p>
    <w:p w14:paraId="324A3D92" w14:textId="77777777" w:rsidR="0073199A" w:rsidRDefault="0073199A">
      <w:pPr>
        <w:rPr>
          <w:rFonts w:ascii="Times New Roman" w:hAnsi="Times New Roman" w:cs="Times New Roman"/>
        </w:rPr>
      </w:pPr>
    </w:p>
    <w:p w14:paraId="69346904" w14:textId="77777777" w:rsidR="0073199A" w:rsidRDefault="0073199A">
      <w:pPr>
        <w:rPr>
          <w:rFonts w:ascii="Times New Roman" w:hAnsi="Times New Roman" w:cs="Times New Roman"/>
        </w:rPr>
      </w:pPr>
    </w:p>
    <w:p w14:paraId="14DA1754" w14:textId="77777777" w:rsidR="0073199A" w:rsidRDefault="0073199A">
      <w:pPr>
        <w:rPr>
          <w:rFonts w:ascii="Times New Roman" w:hAnsi="Times New Roman" w:cs="Times New Roman"/>
        </w:rPr>
      </w:pPr>
    </w:p>
    <w:p w14:paraId="421017AF" w14:textId="77777777" w:rsidR="0073199A" w:rsidRDefault="0073199A">
      <w:pPr>
        <w:rPr>
          <w:rFonts w:ascii="Times New Roman" w:hAnsi="Times New Roman" w:cs="Times New Roman"/>
        </w:rPr>
      </w:pPr>
    </w:p>
    <w:p w14:paraId="2CE33403" w14:textId="77777777" w:rsidR="0073199A" w:rsidRDefault="0073199A">
      <w:pPr>
        <w:rPr>
          <w:rFonts w:ascii="Times New Roman" w:hAnsi="Times New Roman" w:cs="Times New Roman"/>
        </w:rPr>
      </w:pPr>
    </w:p>
    <w:p w14:paraId="5055C8A7" w14:textId="77777777" w:rsidR="0073199A" w:rsidRDefault="0073199A">
      <w:pPr>
        <w:rPr>
          <w:rFonts w:ascii="Times New Roman" w:hAnsi="Times New Roman" w:cs="Times New Roman"/>
        </w:rPr>
      </w:pPr>
    </w:p>
    <w:p w14:paraId="12C816DE" w14:textId="77777777" w:rsidR="001617D3" w:rsidRDefault="001617D3">
      <w:pPr>
        <w:rPr>
          <w:rFonts w:ascii="Times New Roman" w:hAnsi="Times New Roman" w:cs="Times New Roman"/>
        </w:rPr>
      </w:pPr>
    </w:p>
    <w:p w14:paraId="4EECC94D" w14:textId="77777777" w:rsidR="001617D3" w:rsidRDefault="001617D3">
      <w:pPr>
        <w:rPr>
          <w:rFonts w:ascii="Times New Roman" w:hAnsi="Times New Roman" w:cs="Times New Roman"/>
        </w:rPr>
      </w:pPr>
    </w:p>
    <w:p w14:paraId="2C5FB42D" w14:textId="77777777" w:rsidR="0029233D" w:rsidRDefault="0029233D">
      <w:pPr>
        <w:rPr>
          <w:rFonts w:ascii="Times New Roman" w:hAnsi="Times New Roman" w:cs="Times New Roman"/>
        </w:rPr>
      </w:pPr>
    </w:p>
    <w:p w14:paraId="1FC0BE66" w14:textId="4E3908B7" w:rsidR="0029233D" w:rsidRPr="00B64E9E" w:rsidRDefault="00B64E9E">
      <w:pPr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83328" behindDoc="0" locked="0" layoutInCell="1" allowOverlap="1" wp14:anchorId="2ADC9D3C" wp14:editId="14B14694">
            <wp:simplePos x="0" y="0"/>
            <wp:positionH relativeFrom="margin">
              <wp:align>right</wp:align>
            </wp:positionH>
            <wp:positionV relativeFrom="paragraph">
              <wp:posOffset>393</wp:posOffset>
            </wp:positionV>
            <wp:extent cx="5704764" cy="7946499"/>
            <wp:effectExtent l="0" t="0" r="0" b="0"/>
            <wp:wrapSquare wrapText="bothSides"/>
            <wp:docPr id="210080697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764" cy="7946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233D">
        <w:rPr>
          <w:rFonts w:ascii="Times New Roman" w:hAnsi="Times New Roman" w:cs="Times New Roman"/>
          <w:b/>
          <w:bCs/>
        </w:rPr>
        <w:t>Sup. Fig. 5</w:t>
      </w:r>
      <w:r w:rsidR="0029233D">
        <w:rPr>
          <w:rFonts w:ascii="Times New Roman" w:hAnsi="Times New Roman" w:cs="Times New Roman"/>
        </w:rPr>
        <w:t>: Genetic gain expressed as a percent difference relative to selection on the TPE mean (Strategy = Mean), considering the best five (elite) genotypes within stability percentiles.</w:t>
      </w:r>
    </w:p>
    <w:sectPr w:rsidR="0029233D" w:rsidRPr="00B64E9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233D"/>
    <w:rsid w:val="001617D3"/>
    <w:rsid w:val="00176CB4"/>
    <w:rsid w:val="00203E37"/>
    <w:rsid w:val="00230E2F"/>
    <w:rsid w:val="0029233D"/>
    <w:rsid w:val="002D6613"/>
    <w:rsid w:val="004057C7"/>
    <w:rsid w:val="00541D6C"/>
    <w:rsid w:val="00591C23"/>
    <w:rsid w:val="006D727E"/>
    <w:rsid w:val="00712D66"/>
    <w:rsid w:val="0073199A"/>
    <w:rsid w:val="008C47FB"/>
    <w:rsid w:val="00A92E9D"/>
    <w:rsid w:val="00B64E9E"/>
    <w:rsid w:val="00CD0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F759EC"/>
  <w15:chartTrackingRefBased/>
  <w15:docId w15:val="{8638193F-F7D2-4F86-8070-5B4C9CCB0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9233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9233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9233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9233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9233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9233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9233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9233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9233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9233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9233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9233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9233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9233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9233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9233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9233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9233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9233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923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9233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923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923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9233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9233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9233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9233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9233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9233D"/>
    <w:rPr>
      <w:b/>
      <w:bCs/>
      <w:smallCaps/>
      <w:color w:val="0F4761" w:themeColor="accent1" w:themeShade="BF"/>
      <w:spacing w:val="5"/>
    </w:rPr>
  </w:style>
  <w:style w:type="character" w:styleId="PlaceholderText">
    <w:name w:val="Placeholder Text"/>
    <w:basedOn w:val="DefaultParagraphFont"/>
    <w:uiPriority w:val="99"/>
    <w:semiHidden/>
    <w:rsid w:val="0029233D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341</Words>
  <Characters>1947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Dominic Waters</dc:creator>
  <cp:keywords/>
  <dc:description/>
  <cp:lastModifiedBy>Dominic Waters</cp:lastModifiedBy>
  <cp:revision>4</cp:revision>
  <dcterms:created xsi:type="dcterms:W3CDTF">2025-12-01T06:49:00Z</dcterms:created>
  <dcterms:modified xsi:type="dcterms:W3CDTF">2026-05-15T07:04:00Z</dcterms:modified>
</cp:coreProperties>
</file>